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00"/>
        <w:tblBorders>
          <w:top w:val="none"/>
          <w:left w:val="none"/>
          <w:bottom w:val="none"/>
          <w:right w:val="none"/>
          <w:insideH w:val="none"/>
          <w:insideV w:val="none"/>
        </w:tblBorders>
      </w:tblPr>
      <w:tblGrid>
        <w:gridCol w:w="4700"/>
        <w:gridCol w:w="4700"/>
      </w:tblGrid>
      <w:tr>
        <w:tc>
          <w:tcPr>
            <w:tcW w:type="dxa" w:w="4700"/>
            <w:tcBorders>
              <w:top w:val="none"/>
              <w:left w:val="none"/>
              <w:bottom w:val="none"/>
              <w:right w:val="none"/>
            </w:tcBorders>
            <w:tcMar>
              <w:top w:type="dxa" w:w="40"/>
              <w:left w:type="dxa" w:w="90"/>
              <w:bottom w:type="dxa" w:w="40"/>
              <w:right w:type="dxa" w:w="120"/>
            </w:tcMar>
          </w:tcPr>
          <w:p>
            <w:pPr>
              <w:spacing w:after="90" w:line="250"/>
              <w:jc w:val="center"/>
            </w:pPr>
            <w:r>
              <w:rPr>
                <w:rFonts w:ascii="Times New Roman" w:cs="Times New Roman" w:eastAsia="Times New Roman" w:hAnsi="Times New Roman"/>
                <w:b/>
                <w:bCs/>
                <w:i w:val="false"/>
                <w:iCs w:val="false"/>
                <w:sz w:val="21"/>
                <w:szCs w:val="21"/>
              </w:rPr>
              <w:t xml:space="preserve">ОБЩИЕ УСЛОВИЯ ВЗАИМОДЕЙСТВИЯ СТОРОН при оказании транспортно-экспедиционных услуг</w:t>
            </w:r>
          </w:p>
        </w:tc>
        <w:tc>
          <w:tcPr>
            <w:tcW w:type="dxa" w:w="4700"/>
            <w:tcBorders>
              <w:top w:val="none"/>
              <w:left w:val="none"/>
              <w:bottom w:val="none"/>
              <w:right w:val="none"/>
            </w:tcBorders>
            <w:tcMar>
              <w:top w:type="dxa" w:w="40"/>
              <w:left w:type="dxa" w:w="90"/>
              <w:bottom w:type="dxa" w:w="40"/>
              <w:right w:type="dxa" w:w="120"/>
            </w:tcMar>
          </w:tcPr>
          <w:p>
            <w:pPr>
              <w:spacing w:after="90" w:line="250"/>
              <w:jc w:val="center"/>
            </w:pPr>
            <w:r>
              <w:rPr>
                <w:rFonts w:ascii="Times New Roman" w:cs="Times New Roman" w:eastAsia="Times New Roman" w:hAnsi="Times New Roman"/>
                <w:b/>
                <w:bCs/>
                <w:i w:val="false"/>
                <w:iCs w:val="false"/>
                <w:sz w:val="21"/>
                <w:szCs w:val="21"/>
              </w:rPr>
              <w:t xml:space="preserve">GENERAL TERMS AND CONDITIONS OF COOPERATION in the provision of freight forwarding services</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center"/>
            </w:pPr>
            <w:r>
              <w:rPr>
                <w:rFonts w:ascii="Times New Roman" w:cs="Times New Roman" w:eastAsia="Times New Roman" w:hAnsi="Times New Roman"/>
                <w:b w:val="false"/>
                <w:bCs w:val="false"/>
                <w:i/>
                <w:iCs/>
                <w:sz w:val="19"/>
                <w:szCs w:val="19"/>
              </w:rPr>
              <w:t xml:space="preserve">Приложение к договорам ООО «АВАЛОГ» с заказчиками и исполнителями. Редакция от «01» января 2026 г.</w:t>
            </w:r>
          </w:p>
        </w:tc>
        <w:tc>
          <w:tcPr>
            <w:tcW w:type="dxa" w:w="4700"/>
            <w:tcBorders>
              <w:top w:val="none"/>
              <w:left w:val="none"/>
              <w:bottom w:val="none"/>
              <w:right w:val="none"/>
            </w:tcBorders>
            <w:tcMar>
              <w:top w:type="dxa" w:w="40"/>
              <w:left w:type="dxa" w:w="90"/>
              <w:bottom w:type="dxa" w:w="40"/>
              <w:right w:type="dxa" w:w="120"/>
            </w:tcMar>
          </w:tcPr>
          <w:p>
            <w:pPr>
              <w:spacing w:after="90" w:line="250"/>
              <w:jc w:val="center"/>
            </w:pPr>
            <w:r>
              <w:rPr>
                <w:rFonts w:ascii="Times New Roman" w:cs="Times New Roman" w:eastAsia="Times New Roman" w:hAnsi="Times New Roman"/>
                <w:b w:val="false"/>
                <w:bCs w:val="false"/>
                <w:i/>
                <w:iCs/>
                <w:sz w:val="19"/>
                <w:szCs w:val="19"/>
              </w:rPr>
              <w:t xml:space="preserve">Annex to the agreements of AVALOG LLC with customers and service providers. Version dated 1 January 2026.</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1. Назначение и порядок применения</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1. Purpose and application</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1.1. Настоящие Общие условия применяются к отношениям ООО «АВАЛОГ» (далее — Компания) с любым контрагентом (далее — Сторона) независимо от того, выступает ли Сторона заказчиком услуг или их исполнителем и является ли она резидентом Российской Федерации или иностранным лицом.</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1.1. These General Terms apply to the relations between AVALOG LLC (the "Company") and any counterparty (the "Party"), irrespective of whether the Party acts as a customer or as a service provider and whether it is a resident of the Russian Federation or a foreign entity.</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1.2. Общие условия прилагаются к основному договору и являются его неотъемлемой частью. При противоречии между Общими условиями и основным договором применяется основной договор, если в нём прямо не указано иное.</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1.2. These General Terms are annexed to and form an integral part of the main agreement. In the event of a conflict between these General Terms and the main agreement, the main agreement prevails unless it expressly provides otherwise.</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1.3. Положения настоящего документа применяются выборочно, в соответствии с ролью Стороны, её налоговым резидентством и плечом перевозки. Применимость каждого раздела обозначена маркерами и сведена в матрицу применимости (Приложение № 1).</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1.3. The provisions hereof apply selectively, depending on the role of the Party, its tax residency and the leg of carriage concerned. The applicability of each section is indicated by markers and summarised in the applicability matrix (Annex 1).</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1.4. Маркеры применимости:</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1.4. Applicability markers:</w:t>
            </w:r>
          </w:p>
        </w:tc>
      </w:tr>
      <w:tr>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[З] — Сторона выступает заказчиком услуг (клиентом Компании).</w:t>
            </w:r>
          </w:p>
        </w:tc>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[C] — the Party acts as a customer of the Company.</w:t>
            </w:r>
          </w:p>
        </w:tc>
      </w:tr>
      <w:tr>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[И] — Сторона выступает исполнителем (перевозчиком, субэкспедитором, оператором склада, терминалом, агентом).</w:t>
            </w:r>
          </w:p>
        </w:tc>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[P] — the Party acts as a service provider (carrier, sub-forwarder, warehouse operator, terminal, agent).</w:t>
            </w:r>
          </w:p>
        </w:tc>
      </w:tr>
      <w:tr>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[РФ] — Сторона является российским юридическим лицом или индивидуальным предпринимателем.</w:t>
            </w:r>
          </w:p>
        </w:tc>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[RU] — the Party is a Russian legal entity or individual entrepreneur.</w:t>
            </w:r>
          </w:p>
        </w:tc>
      </w:tr>
      <w:tr>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[ИН] — Сторона является иностранным лицом.</w:t>
            </w:r>
          </w:p>
        </w:tc>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[FN] — the Party is a foreign entity.</w:t>
            </w:r>
          </w:p>
        </w:tc>
      </w:tr>
      <w:tr>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[РП] — положение применяется к российскому плечу; [МП] — к международному плечу.</w:t>
            </w:r>
          </w:p>
        </w:tc>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[RL] — the provision applies to the Russian leg; [IL] — to the international leg.</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1.5. Отсутствие маркера означает, что положение применяется ко всем Сторонам во всех ролях.</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1.5. The absence of a marker means that the provision applies to all Parties in all roles.</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1.6. Роль Стороны, её резидентство и реквизиты фиксируются в Карточке Стороны (Приложение № 2). Карточка заполняется до начала исполнения и актуализируется при изменении сведений.</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1.6. The role of the Party, its residency and its details are recorded in the Party Profile (Annex 2). The Profile is completed before performance begins and updated whenever the details change.</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2. Термины</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2. Definitions</w:t>
            </w:r>
          </w:p>
        </w:tc>
      </w:tr>
      <w:tr>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«Российское плечо (РП)» — часть перевозки и связанные с ней операции, выполняемые на территории Российской Федерации, включая внутрироссийскую перевозку, доставку от порта или пограничной станции до места назначения, перевалку, хранение и складскую обработку.</w:t>
            </w:r>
          </w:p>
        </w:tc>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"Russian leg (RL)" means the part of the carriage and related operations performed within the territory of the Russian Federation, including domestic carriage, delivery from a port or border station to the place of destination, transhipment, storage and warehouse handling.</w:t>
            </w:r>
          </w:p>
        </w:tc>
      </w:tr>
      <w:tr>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«Международное плечо (МП)» — часть перевозки, выполняемая за пределами территории Российской Федерации, а также морская перевозка до порта назначения в Российской Федерации и трансграничная перевозка до пункта пропуска.</w:t>
            </w:r>
          </w:p>
        </w:tc>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"International leg (IL)" means the part of the carriage performed outside the territory of the Russian Federation, as well as sea carriage to a port of destination in the Russian Federation and cross-border carriage up to the border crossing point.</w:t>
            </w:r>
          </w:p>
        </w:tc>
      </w:tr>
      <w:tr>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«ЭПД» — электронные перевозочные и экспедиторские документы, обмен которыми осуществляется через операторов информационных систем электронных перевозочных документов (ИС ЭПД) с передачей сведений в государственную информационную систему электронных перевозочных документов (ГИС ЭПД).</w:t>
            </w:r>
          </w:p>
        </w:tc>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"ETD" means electronic transport and forwarding documents exchanged through operators of electronic transport document information systems (ETD IS) with transmission of data to the state information system of electronic transport documents (SIS ETD).</w:t>
            </w:r>
          </w:p>
        </w:tc>
      </w:tr>
      <w:tr>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«ЭПЭ, ЭЭР, ЭСР» — электронное поручение экспедитору (титулы Т1, Т2, Т3), электронная экспедиторская расписка, электронная складская расписка.</w:t>
            </w:r>
          </w:p>
        </w:tc>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"eFI, eFR, eWR" means the electronic forwarding instruction (titles T1, T2, T3), the electronic forwarder’s receipt and the electronic warehouse receipt.</w:t>
            </w:r>
          </w:p>
        </w:tc>
      </w:tr>
      <w:tr>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«ЭТрН, ЭЗЗ, ЭЖДН» — электронная транспортная накладная, электронная заказ-заявка на перевозку, электронная железнодорожная накладная.</w:t>
            </w:r>
          </w:p>
        </w:tc>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"eCN, eTO, eRWB" means the electronic consignment note, the electronic transport order and the electronic railway waybill.</w:t>
            </w:r>
          </w:p>
        </w:tc>
      </w:tr>
      <w:tr>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«Международные транспортные документы» — коносамент, накладная CMR, авианакладная, накладная СМГС/ЦИМ и иные документы, оформляемые в соответствии с международными договорами и обычаями делового оборота.</w:t>
            </w:r>
          </w:p>
        </w:tc>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"International transport documents" means the bill of lading, the CMR consignment note, the air waybill, the SMGS/CIM consignment note and other documents issued in accordance with international treaties and trade usage.</w:t>
            </w:r>
          </w:p>
        </w:tc>
      </w:tr>
      <w:tr>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«ПВИО» — предметы и вещества, изъятые из гражданского оборота или ограниченно оборотоспособные, указанные в статье 2.1 Федерального закона от 30.06.2003 № 87-ФЗ.</w:t>
            </w:r>
          </w:p>
        </w:tc>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"Restricted items" means items and substances withdrawn from civil circulation or of limited transferability, as listed in Article 2.1 of Federal Law No. 87-FZ of 30 June 2003.</w:t>
            </w:r>
          </w:p>
        </w:tc>
      </w:tr>
      <w:tr>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«Реестр» — реестр уведомлений о транспортно-экспедиционной деятельности на платформе «ГосЛог» (статьи 2.2–2.5 Федерального закона № 87-ФЗ).</w:t>
            </w:r>
          </w:p>
        </w:tc>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"Register" means the register of notifications on freight forwarding activity maintained on the GosLog platform (Articles 2.2–2.5 of Federal Law No. 87-FZ).</w:t>
            </w:r>
          </w:p>
        </w:tc>
      </w:tr>
      <w:tr>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«УКЭП, УНЭП, ПЭП, МЧД» — усиленная квалифицированная, усиленная неквалифицированная и простая электронная подпись; машиночитаемая доверенность.</w:t>
            </w:r>
          </w:p>
        </w:tc>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"QES, AES, SES, MRPA" means the qualified electronic signature, the advanced electronic signature, the simple electronic signature and the machine-readable power of attorney.</w:t>
            </w:r>
          </w:p>
        </w:tc>
      </w:tr>
      <w:tr>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«Отправка» — совокупность операций по перемещению одной партии груза по согласованному маршруту, которой присваивается единый идентификационный номер Компании.</w:t>
            </w:r>
          </w:p>
        </w:tc>
        <w:tc>
          <w:tcPr>
            <w:tcW w:type="dxa" w:w="4700"/>
            <w:tcBorders>
              <w:top w:val="none"/>
              <w:left w:val="none"/>
              <w:bottom w:val="none"/>
              <w:right w:val="none"/>
            </w:tcBorders>
            <w:tcMar>
              <w:top w:type="dxa" w:w="40"/>
              <w:left w:type="dxa" w:w="90"/>
              <w:bottom w:type="dxa" w:w="40"/>
              <w:right w:type="dxa" w:w="120"/>
            </w:tcMar>
          </w:tcPr>
          <w:p>
            <w:pPr>
              <w:spacing w:after="90" w:line="250"/>
              <w:ind w:left="260"/>
              <w:jc w:val="both"/>
            </w:pPr>
            <w:r>
              <w:rPr>
                <w:rFonts w:ascii="Times New Roman" w:cs="Times New Roman" w:eastAsia="Times New Roman" w:hAnsi="Times New Roman"/>
                <w:b w:val="false"/>
                <w:bCs w:val="false"/>
                <w:i w:val="false"/>
                <w:iCs w:val="false"/>
                <w:sz w:val="19"/>
                <w:szCs w:val="19"/>
              </w:rPr>
              <w:t xml:space="preserve">"Shipment" means the set of operations for moving a single consignment along an agreed route, to which a single Company reference number is assigned.</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3. Разграничение плеч и применимых документов</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3. Allocation of legs and applicable documents</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3.1. Каждой Отправке присваивается единый идентификационный номер Компании. Все документы, оформляемые на любом плече, содержат ссылку на этот номер. Соответствие между документами разных плеч обеспечивается Компанией.</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3.1. Each Shipment is assigned a single Company reference number. All documents issued on any leg shall refer to that number. The Company ensures consistency between the documents of the different legs.</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3.2. Состав документов определяется плечом перевозки, а не резидентством Стороны. На международном плече применяются букинг, коносамент, накладная CMR, авианакладная, накладная СМГС/ЦИМ; они оформляются в бумажной или электронной форме по правилам перевозчика и в ГИС ЭПД не передаются. На российском плече применяются ЭПЭ (титулы Т1, Т2, при отзыве Т3), ЭЭР, при складском хранении ЭСР, а также ЭЗЗ, ЭТрН и ЭЖДН; они оформляются исключительно в электронной форме через оператора ИС ЭПД с передачей сведений в ГИС ЭПД.</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3.2. The set of documents is determined by the leg of carriage and not by the residency of the Party. On the international leg the booking, the bill of lading, the CMR consignment note, the air waybill and the SMGS/CIM consignment note apply; they are issued in paper or electronic form under the carrier’s rules and are not transmitted to the SIS ETD. On the Russian leg the eFI (titles T1, T2 and, upon revocation, T3), the eFR, the eWR in case of warehousing, as well as the eTO, the eCN and the eRWB apply; they are issued exclusively in electronic form through an ETD IS operator with transmission of data to the SIS ETD.</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3.3. Требования об оформлении ЭПД применяются исключительно к российскому плечу и исключительно к Сторонам, являющимся резидентами Российской Федерации. Оформление ЭПД не требуется от иностранных Сторон и не применяется к операциям, выполняемым за пределами территории Российской Федерации.</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3.3. The ETD requirements apply solely to the Russian leg and solely to Parties that are residents of the Russian Federation. ETD issuance is not required from foreign Parties and does not apply to operations performed outside the territory of the Russian Federation.</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3.4. Если на российском плече иностранная Сторона выступает грузоотправителем или грузополучателем, оформление соответствующих перевозочных документов на бумажном носителе допускается в случаях, установленных нормативными правовыми актами Российской Федерации. В остальных случаях функции грузоотправителя и грузополучателя на российском плече принимает на себя Компания.</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3.4. Where a foreign Party acts as consignor or consignee on the Russian leg, the relevant transport documents may be issued in paper form in the cases provided for by the laws and regulations of the Russian Federation. In all other cases the Company assumes the functions of consignor and consignee on the Russian leg.</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3.5. Переход ответственности за груз между плечами фиксируется актом приёма-передачи либо экспедиторской распиской. До момента такой фиксации ответственность несёт Сторона, во владении которой находится груз.</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3.5. The transfer of responsibility for the cargo between legs is evidenced by a handover certificate or a forwarder’s receipt. Until such evidence is issued, responsibility rests with the Party in whose custody the cargo is held.</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4. Электронный документооборот на российском плече [РФ] [РП]</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4. Electronic document flow on the Russian leg [RU] [RL]</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4.1. Сторона обеспечивает за свой счёт подключение к оператору ИС ЭПД, получение Идентификатора ЭПД, наличие действующих сертификатов электронной подписи и МЧД для подписантов и сообщает соответствующие реквизиты в Карточке Стороны.</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4.1. The Party shall, at its own cost, connect to an ETD IS operator, obtain an ETD Identifier, maintain valid electronic signature certificates and MRPAs for its signatories, and provide the corresponding details in the Party Profile.</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4.2. [З] Заказчик формирует и подписывает титул Т1 ЭПЭ; Компания подписывает титул Т2, чем подтверждает принятие поручения. Изменение подписанного ЭПЭ не допускается: поручение отзывается титулом Т3 и оформляется заново, при этом фактически понесённые Компанией расходы возмещаются Заказчиком.</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4.2. [C] The customer creates and signs title T1 of the eFI; the Company signs title T2, thereby confirming acceptance of the instruction. Amendment of a signed eFI is not permitted: the instruction is revoked by title T3 and re-issued, and the costs actually incurred by the Company shall be reimbursed by the customer.</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4.3. [И] Исполнитель формирует и подписывает документы, относящиеся к его роли (ЭЗЗ, ЭТрН, ЭЖДН, при оказании складских услуг — ЭСР), в сроки, обеспечивающие своевременное начало и завершение перевозки, и предоставляет Компании доступ к ним.</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4.3. [P] The service provider creates and signs the documents pertaining to its role (eTO, eCN, eRWB and, where warehousing services are provided, the eWR) within time limits allowing the timely commencement and completion of the carriage, and grants the Company access to them.</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4.4. Технический сбой в работе ИС ЭПД или ГИС ЭПД не освобождает от обязанности оформить ЭПД. Сторона, выявившая сбой, уведомляет другую Сторону не позднее одного рабочего дня и сохраняет доказательства сбоя: идентификатор запроса и его статус, текст ошибки, технические журналы, файлы обмена и файлы электронной подписи, подтверждение обращения в службу поддержки оператора.</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4.4. A technical failure of the ETD IS or the SIS ETD does not release a Party from the obligation to issue ETDs. The Party that detects the failure shall notify the other Party within one business day and preserve evidence of the failure: the request identifier and its status, the error message, technical logs, exchange files and electronic signature files, and confirmation of a request to the operator’s support service.</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4.5. Сторона, не исполнившая обязанность по формированию, подписанию или направлению ЭПД, возмещает другой Стороне убытки и суммы административных штрафов, наложенных в связи с таким неисполнением.</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4.5. A Party that fails to create, sign or transmit ETDs shall indemnify the other Party for losses and for administrative fines imposed in connection with such failure.</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5. Документы международного плеча [МП]</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5. Documents of the international leg [IL]</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5.1. На международном плече применяются международные транспортные документы. Их форма, порядок оформления и передачи определяются применимым международным договором, правилами перевозчика и обычаями делового оборота.</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5.1. International transport documents apply on the international leg. Their form and the procedure for their issuance and transfer are governed by the applicable international treaty, the carrier’s rules and trade usage.</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5.2. Электронный оборот международных транспортных документов, в том числе электронного коносамента, допускается при согласии всех участников перевозки и не заменяет обязанностей по оформлению ЭПД на российском плече.</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5.2. Electronic handling of international transport documents, including the electronic bill of lading, is permitted with the consent of all participants in the carriage and does not replace the ETD obligations applicable on the Russian leg.</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5.3. Сторона, оформляющая международный транспортный документ, обеспечивает соответствие указанных в нём сведений о грузе сведениям, переданным Компании, и незамедлительно сообщает о расхождениях.</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5.3. The Party issuing an international transport document shall ensure that the cargo particulars stated therein correspond to those provided to the Company and shall report any discrepancies without delay.</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5.4. [И] [ИН] Исполнитель предоставляет Компании оригиналы или согласованные Сторонами копии международных транспортных документов в срок, позволяющий своевременно оформить документы российского плеча и таможенные операции.</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5.4. [P] [FN] The service provider shall deliver to the Company the originals, or copies agreed by the Parties, of the international transport documents within a period allowing the timely issuance of the Russian-leg documents and completion of customs formalities.</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6. Реестры и допуск к деятельности [РФ]</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6. Registers and admission to activity [RU]</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6.1. Сторона, осуществляющая транспортно-экспедиционную деятельность на территории Российской Федерации, заверяет, что сведения о ней размещены в Реестре, указывает регистрационный номер в Карточке Стороны и поддерживает актуальность сведений.</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6.1. A Party carrying out freight forwarding activity within the territory of the Russian Federation represents that its data are entered in the Register, states its registration number in the Party Profile and keeps such data up to date.</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6.2. Об исключении сведений из Реестра Сторона уведомляет другую Сторону в течение 3 (трёх) рабочих дней. Другая Сторона вправе приостановить исполнение либо отказаться от договора в одностороннем внесудебном порядке с проведением взаиморасчётов по фактически оказанным услугам.</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6.2. A Party shall notify the other Party of the removal of its data from the Register within three (3) business days. The other Party may suspend performance or terminate the agreement unilaterally and out of court, subject to settlement for the services actually rendered.</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6.3. [И] Исполнитель, привлекающий соисполнителей для операций на территории Российской Федерации, обеспечивает их соответствие требованиям настоящего раздела, а с 1 марта 2027 года — наличие сведений о перевозчиках в соответствующем реестре, если такое требование установлено законодательством.</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6.3. [P] A service provider engaging sub-contractors for operations within the Russian Federation shall ensure their compliance with this section and, from 1 March 2027, that the carriers are entered in the relevant register, where such a requirement is established by law.</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7. Груз, содержащий ПВИО, и проверка груза</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7. Cargo containing restricted items; cargo inspection</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7.1. [З] Заказчик заверяет об отсутствии в грузе ПВИО, а при их наличии предоставляет полную информацию и все разрешительные документы одновременно с подачей заявки.</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7.1. [C] The customer represents that the cargo contains no restricted items and, where such items are present, provides full information and all permits simultaneously with the submission of the request.</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7.2. [З] Заказчик даёт согласие на осмотр, взвешивание, сканирование, а при обоснованных сомнениях — на вскрытие упаковки или грузового места с составлением акта. Расходы относятся на Компанию, а при подтверждении расхождений или выявлении ПВИО — на Заказчика.</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7.2. [C] The customer consents to inspection, weighing and scanning and, where reasonable doubt exists, to the opening of packaging or of a cargo unit against a written report. The related costs are borne by the Company and, where discrepancies are confirmed or restricted items are found, by the customer.</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7.3. [И] Исполнитель не принимает груз к перевозке или хранению при отсутствии необходимых разрешительных документов и незамедлительно информирует Компанию о выявлении в составе груза ПВИО.</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7.3. [P] The service provider shall not accept cargo for carriage or storage in the absence of the required permits and shall inform the Company without delay of any restricted items found in the cargo.</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7.4. [РФ] Компания и Сторона исполняют обязанность по информированию уполномоченного органа, осуществляющего оперативно-разыскную деятельность, в порядке, установленном нормативными правовыми актами Российской Федерации.</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7.4. [RU] The Company and the Party shall comply with the obligation to inform the competent authority carrying out operational search activity, in the manner prescribed by the laws and regulations of the Russian Federation.</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7.5. Приостановление исполнения по основаниям настоящего раздела не является нарушением обязательств. Возникшие расходы, а также административные штрафы, наложенные в связи с недостоверностью сведений о грузе, возмещаются Стороной, предоставившей такие сведения, в течение 5 (пяти) банковских дней с даты требования.</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7.5. Suspension of performance on the grounds set out in this section does not constitute a breach. The resulting costs, as well as administrative fines imposed by reason of inaccurate cargo particulars, shall be reimbursed by the Party that provided such particulars within five (5) banking days of demand.</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8. Данные и документооборот: разграничение категорий</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8. Data and documents: categories</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8.1. Стороны разграничивают следующие категории сведений и применяют к каждой свой режим: коммерческие данные (ставки, условия ценообразования, содержание заявок, объёмы, состав привлечённых лиц) — конфиденциальная информация, в ГИС ЭПД не передаются; данные об Отправке (наименование и характеристики груза, маршрут, даты, номера контейнеров и транспортных средств) — передаются участникам перевозки в необходимом объёме, на российском плече в составе ЭПД; персональные данные представителей Сторон; персональные данные участников перевозки (водители, представители грузоотправителя и грузополучателя), которые на российском плече размещаются в ЭПД и ГИС ЭПД; обязательные к хранению сведения — хранятся 3 (три) года на территории Российской Федерации и предоставляются уполномоченным органам по требованию.</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8.1. The Parties distinguish the following categories of data and apply a separate regime to each: commercial data (rates, pricing terms, contents of requests, volumes, identity of engaged parties), which constitute confidential information and are not transmitted to the SIS ETD; Shipment data (cargo description and particulars, route, dates, container and vehicle numbers), which are disclosed to participants in the carriage to the extent necessary and, on the Russian leg, form part of the ETDs; personal data of the Parties’ representatives; personal data of participants in the carriage (drivers, representatives of the consignor and consignee), which on the Russian leg are included in the ETDs and the SIS ETD; and data subject to mandatory retention, which are kept for three (3) years within the territory of the Russian Federation and provided to the competent authorities upon request.</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8.2. Отнесение сведений к категории определяется их содержанием, а не тем, в каком документе или системе они находятся. Передача сведений в ГИС ЭПД в силу требований законодательства не является нарушением обязательств о конфиденциальности.</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8.2. The classification of data is determined by its content and not by the document or system in which it is held. Transmission of data to the SIS ETD as required by law does not constitute a breach of confidentiality obligations.</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9. Конфиденциальность</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9. Confidentiality</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9.1. Стороны не раскрывают третьим лицам коммерческие данные и иные сведения, полученные в связи с исполнением договора, в течение срока его действия и 3 (трёх) лет после прекращения.</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9.1. The Parties shall not disclose to third parties commercial data or other information obtained in connection with the performance of the agreement, during its term and for three (3) years after its termination.</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9.2. Не является нарушением раскрытие: уполномоченным государственным органам в установленном законом порядке; участникам перевозки в объёме, необходимом для исполнения, при принятии ими сопоставимых обязательств; сведений, ставших общедоступными не по вине принимающей Стороны.</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9.2. Disclosure does not constitute a breach where it is made: to competent state authorities in the manner prescribed by law; to participants in the carriage to the extent necessary for performance, provided they assume comparable obligations; or in respect of information that has become publicly available through no fault of the receiving Party.</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9.3. [З] Сведения о составе привлечённых Компанией исполнителей и условиях договоров с ними являются конфиденциальной информацией Компании. Заказчик обязуется не заключать прямых договоров с такими лицами по маршрутам, организованным Компанией, в течение срока действия договора и 1 (одного) года после его прекращения.</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9.3. [C] Information on the service providers engaged by the Company and on the terms of the agreements with them constitutes confidential information of the Company. The customer undertakes not to enter into direct agreements with such persons in respect of routes arranged by the Company during the term of the agreement and for one (1) year after its termination.</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9.4. [И] Исполнитель обязуется не вступать в прямые отношения с заказчиками Компании, ставшими ему известными в связи с исполнением договора, по маршрутам и грузам, организованным Компанией, в течение срока действия договора и 1 (одного) года после его прекращения.</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9.4. [P] The service provider undertakes not to enter into direct relations with customers of the Company that became known to it in connection with the performance of the agreement, in respect of routes and cargoes arranged by the Company, during the term of the agreement and for one (1) year after its termination.</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10. Персональные данные</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10. Personal data</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10.1. Каждая Сторона, передающая персональные данные, гарантирует наличие правовых оснований для их передачи и последующей обработки принимающей Стороной и участниками перевозки, включая размещение сведений в ГИС ЭПД на российском плече.</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10.1. Each Party transferring personal data warrants that it has lawful grounds for such transfer and for the subsequent processing by the receiving Party and by participants in the carriage, including the placement of such data in the SIS ETD on the Russian leg.</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10.2. [РФ] При передаче персональных данных для обработки по поручению Стороны заключают соглашение, содержащее перечень действий, цели обработки, обязанность соблюдать конфиденциальность и требования к мерам защиты, в соответствии с частью 3 статьи 6 Федерального закона от 27.07.2006 № 152-ФЗ.</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10.2. [RU] Where personal data are transferred for processing on instructions, the Parties shall conclude an agreement setting out the list of processing operations, the purposes of processing, the confidentiality obligation and the security requirements, in accordance with Article 6(3) of Federal Law No. 152-FZ of 27 July 2006.</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10.3. [РФ] Запись, систематизация, накопление, хранение, уточнение и извлечение персональных данных граждан Российской Федерации осуществляются с использованием баз данных, расположенных на территории Российской Федерации.</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10.3. [RU] The recording, systematisation, accumulation, storage, updating and retrieval of personal data of citizens of the Russian Federation shall be carried out using databases located within the territory of the Russian Federation.</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10.4. [ИН] Передача персональных данных иностранной Стороне осуществляется в объёме, необходимом для организации международной перевозки, при соблюдении требований статьи 12 Федерального закона № 152-ФЗ, включая направление уведомления в уполномоченный орган до начала трансграничной передачи. Компания вправе приостановить передачу до выполнения указанных требований, что не является нарушением обязательств.</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10.4. [FN] Personal data are transferred to a foreign Party to the extent necessary for arranging the international carriage and subject to compliance with Article 12 of Federal Law No. 152-FZ, including the filing of a notification with the competent authority prior to the commencement of the cross-border transfer. The Company may suspend the transfer until those requirements are met, and such suspension does not constitute a breach.</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10.5. Сторона, нарушившая гарантии настоящего раздела, возмещает другой Стороне убытки и суммы наложенных на неё административных штрафов.</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10.5. A Party in breach of the warranties in this section shall indemnify the other Party for losses and for administrative fines imposed on it.</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11. Расчёты, валюта и налоги [ИН]</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11. Settlements, currency and taxes [FN]</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11.1. Валюта договора и валюта платежа определяются основным договором. При расчётах в иностранной валюте применяется курс, установленный основным договором; при его отсутствии — курс Банка России на дату выставления счёта.</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11.1. The currency of the agreement and the currency of payment are determined by the main agreement. Where settlements are made in a foreign currency, the exchange rate set out in the main agreement applies or, failing that, the rate of the Bank of Russia as at the invoice date.</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11.2. Комиссии банка плательщика несёт плательщик, комиссии банка получателя и банков-корреспондентов — получатель, если основным договором не установлено иное. При расчётах через платёжного агента обязательство плательщика считается исполненным с даты поступления средств на счёт получателя.</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11.2. Charges of the payer’s bank are borne by the payer, and charges of the beneficiary’s bank and of correspondent banks by the beneficiary, unless the main agreement provides otherwise. Where settlements are made through a paying agent, the payer’s obligation is deemed discharged on the date the funds are credited to the beneficiary’s account.</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11.3. Если выплачиваемый иностранной Стороне доход подлежит налогообложению у источника выплаты в Российской Федерации, Компания удерживает соответствующий налог при выплате. Для применения пониженной ставки или освобождения, предусмотренных международным договором Российской Федерации, иностранная Сторона предоставляет Компании до даты выплаты сертификат налогового резидентства за соответствующий период и подтверждение фактического права на доход. При непредоставлении указанных документов налог удерживается по ставке, установленной законодательством Российской Федерации; удержанная сумма не подлежит возмещению Компанией и не увеличивает цену договора.</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11.3. Where income payable to a foreign Party is subject to withholding tax in the Russian Federation, the Company shall withhold the relevant tax upon payment. In order to apply a reduced rate or an exemption provided for by an international treaty of the Russian Federation, the foreign Party shall provide the Company, prior to the date of payment, with a certificate of tax residence for the relevant period and confirmation of beneficial ownership of the income. If such documents are not provided, tax shall be withheld at the rate established by the laws of the Russian Federation; the amount withheld shall not be reimbursed by the Company and shall not increase the contract price.</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11.4. Цена договора считается включающей все налоги, удерживаемые у источника выплаты в Российской Федерации, если основным договором прямо не установлено иное.</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11.4. The contract price is deemed to be inclusive of all taxes withheld at source in the Russian Federation, unless the main agreement expressly provides otherwise.</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11.5. Если местом реализации услуг признаётся территория Российской Федерации и Компания выступает налоговым агентом по налогу на добавленную стоимость, соответствующая сумма удерживается и перечисляется Компанией в бюджет. Стороны определяют место реализации по каждому плечу перевозки при согласовании условий Отправки.</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11.5. Where the place of supply of services is deemed to be the Russian Federation and the Company acts as a value added tax agent, the corresponding amount shall be withheld by the Company and remitted to the budget. The Parties determine the place of supply for each leg of the carriage when agreeing the terms of the Shipment.</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11.6. [З] [РФ] Для подтверждения обоснованности применения ставки налога на добавленную стоимость 0 процентов Заказчик предоставляет Компании надлежаще заверенные копии документов, подтверждающих международный характер перевозки, в сроки, установленные основным договором.</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11.6. [C] [RU] In order to substantiate the application of the zero per cent value added tax rate, the customer shall provide the Company with duly certified copies of the documents evidencing the international character of the carriage within the time limits set out in the main agreement.</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12. Санкционные и платёжные ограничения</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12. Sanctions and payment restrictions</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12.1. Если вследствие введения или изменения санкционных, ограничительных или иных мер иностранных государств, объединений государств и международных организаций либо мер, принятых в целях противодействия им, а равно вследствие решений банков, судоходных линий, страховщиков, портов или терминалов: банк отказывает в проведении платежа, задерживает его или возвращает средства; перевозчик, порт или терминал отказывается от обслуживания либо изменяет маршрут, расписание или порт захода; становится невозможным использование транспортных средств, контейнеров, программного обеспечения или услуг, необходимых для исполнения, — такие обстоятельства признаются основанием для изменения сроков и стоимости услуг, а также для приостановления либо прекращения исполнения соответствующей Отправки.</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12.1. If, as a result of the introduction or amendment of sanctions, restrictive or other measures of foreign states, unions of states or international organisations, or of measures adopted in response thereto, or as a result of decisions of banks, shipping lines, insurers, ports or terminals: a bank refuses, delays or returns a payment; a carrier, port or terminal refuses to provide services or changes the route, schedule or port of call; or it becomes impossible to use the vehicles, containers, software or services required for performance, such circumstances shall constitute grounds for amending the time limits and the price of the services and for suspending or terminating performance of the relevant Shipment.</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12.2. Сторона не несёт ответственности за неисполнение или просрочку, вызванные обстоятельствами, указанными в пункте 12.1. Фактически понесённые расходы возмещаются Стороной, в интересах которой осуществлялось исполнение.</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12.2. A Party shall not be liable for non-performance or delay caused by the circumstances referred to in clause 12.1. Costs actually incurred shall be reimbursed by the Party in whose interest performance was carried out.</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12.3. Невозможность проведения платежа по указанным причинам не освобождает плательщика от обязанности произвести оплату иным допустимым способом, согласованным Сторонами.</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12.3. The impossibility of effecting a payment for the above reasons does not release the payer from the obligation to pay by another permissible means agreed by the Parties.</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12.4. Каждая Сторона заверяет, что она и её бенефициары не включены в санкционные перечни, применимые к отношениям Сторон, и обязуется уведомить другую Сторону о включении в такие перечни в течение 3 (трёх) рабочих дней.</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12.4. Each Party represents that neither it nor its beneficial owners are included in any sanctions lists applicable to the relations between the Parties, and undertakes to notify the other Party of any such listing within three (3) business days.</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13. Ответственность</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13. Liability</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13.1. Ответственность за утрату, недостачу или повреждение груза определяется применительно к плечу, на котором наступило соответствующее обстоятельство, и ограничивается пределами, установленными применимыми к этому плечу нормами, в том числе Кодексом торгового мореплавания Российской Федерации и Гаагско-Висбийскими правилами, Конвенцией о договоре международной дорожной перевозки грузов, Конвенцией для унификации некоторых правил международных воздушных перевозок, Соглашением о международном железнодорожном грузовом сообщении, Уставом железнодорожного транспорта и Уставом автомобильного транспорта Российской Федерации.</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13.1. Liability for loss of, shortage in or damage to cargo is determined by reference to the leg on which the relevant event occurred and is limited to the limits established by the rules applicable to that leg, including the Merchant Shipping Code of the Russian Federation and the Hague-Visby Rules, the Convention on the Contract for the International Carriage of Goods by Road, the Convention for the Unification of Certain Rules for International Carriage by Air, the Agreement on International Railway Freight Communication, and the Railway Transport Charter and the Road Transport Charter of the Russian Federation.</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13.2. [И] Ответственность Исполнителя перед Компанией не может быть ниже ответственности Компании перед её заказчиком за то же обстоятельство в пределах, установленных пунктом 13.1. Условия договора с Исполнителем, устанавливающие более низкие пределы ответственности или более короткие сроки предъявления претензий, применяются только при их прямом согласовании Компанией.</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13.2. [P] The liability of the service provider towards the Company shall not be lower than the liability of the Company towards its customer for the same event, within the limits set out in clause 13.1. Terms of the agreement with the service provider establishing lower liability limits or shorter claim periods apply only where expressly agreed by the Company.</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13.3. Ни одна из Сторон не возмещает другой упущенную выгоду и косвенные убытки, включая убытки от простоя производства, срыва сроков поставки по договорам с третьими лицами, утраты контрактов и репутационного вреда.</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13.3. Neither Party shall be liable to the other for loss of profit or indirect losses, including losses arising from production downtime, failure to meet delivery deadlines under agreements with third parties, loss of contracts or reputational harm.</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13.4. Административные штрафы, наложенные на Сторону вследствие действий или бездействия другой Стороны, возмещаются виновной Стороной в полном объёме.</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13.4. Administrative fines imposed on a Party as a result of the acts or omissions of the other Party shall be reimbursed in full by the Party at fault.</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13.5. Настоящий раздел не ограничивает ответственность Сторон, установленную законодательством Российской Федерации о персональных данных.</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13.5. This section does not limit the liability of the Parties established by the personal data legislation of the Russian Federation.</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14. Применимое право, язык и разрешение споров</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14. Governing law, language and dispute resolution</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14.1. [РФ] К отношениям Сторон применяется право Российской Федерации. Споры, не урегулированные в претензионном порядке, передаются в арбитражный суд, определённый основным договором.</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14.1. [RU] The relations between the Parties are governed by the law of the Russian Federation. Disputes not settled through the claim procedure shall be referred to the commercial court specified in the main agreement.</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14.2. [ИН] К отношениям Сторон применяется материальное право Российской Федерации, если основным договором не согласовано иное. Споры, не урегулированные в претензионном порядке, передаются на разрешение постоянно действующего арбитражного учреждения, указанного в основном договоре, с местом арбитража и языком разбирательства, определёнными там же. При отсутствии такого указания споры передаются в арбитражный суд по месту нахождения Компании.</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14.2. [FN] The relations between the Parties are governed by the substantive law of the Russian Federation unless otherwise agreed in the main agreement. Disputes not settled through the claim procedure shall be referred to the permanent arbitral institution named in the main agreement, with the seat of arbitration and the language of the proceedings as specified therein. In the absence of such designation, disputes shall be referred to the commercial court at the Company’s location.</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14.3. [ИН] Претензионный порядок обязателен. Срок ответа на претензию — 30 (тридцать) календарных дней с даты получения.</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14.3. [FN] The claim procedure is mandatory. A claim shall be answered within thirty (30) calendar days of its receipt.</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14.4. При составлении документов на двух языках приоритет имеет русский текст, если основным договором не установлено иное.</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14.4. Where documents are executed in two languages, the Russian text prevails unless the main agreement provides otherwise.</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15. Заключительные положения</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bCs/>
                <w:i w:val="false"/>
                <w:iCs w:val="false"/>
                <w:sz w:val="19"/>
                <w:szCs w:val="19"/>
              </w:rPr>
              <w:t xml:space="preserve">15. Final provisions</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15.1. Приоритет документов при противоречии: основной договор — настоящие Общие условия — приложения к Общим условиям.</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15.1. Order of precedence in case of conflict: the main agreement, then these General Terms, then the annexes to these General Terms.</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15.2. Общие условия применяются к отношениям Сторон, возникшим с даты подписания основного договора либо с даты, указанной в дополнительном соглашении о присоединении к настоящим Общим условиям.</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15.2. These General Terms apply to the relations between the Parties arising from the date of signature of the main agreement or from the date specified in an addendum acceding to these General Terms.</w:t>
            </w:r>
          </w:p>
        </w:tc>
      </w:tr>
      <w:tr>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15.3. Компания вправе изменять Общие условия, уведомляя Сторону не позднее чем за 15 (пятнадцать) календарных дней до вступления изменений в силу. К Отправкам, начатым исполнением до указанной даты, применяется прежняя редакция.</w:t>
            </w:r>
          </w:p>
        </w:tc>
        <w:tc>
          <w:tcPr>
            <w:tcW w:type="dxa" w:w="4700"/>
            <w:tcBorders>
              <w:top w:val="none"/>
              <w:left w:val="none"/>
              <w:bottom w:val="none"/>
              <w:right w:val="none"/>
            </w:tcBorders>
            <w:tcMar>
              <w:top w:type="dxa" w:w="40"/>
              <w:left w:type="dxa" w:w="90"/>
              <w:bottom w:type="dxa" w:w="40"/>
              <w:right w:type="dxa" w:w="120"/>
            </w:tcMar>
          </w:tcPr>
          <w:p>
            <w:pPr>
              <w:spacing w:after="90" w:line="250"/>
              <w:jc w:val="both"/>
            </w:pPr>
            <w:r>
              <w:rPr>
                <w:rFonts w:ascii="Times New Roman" w:cs="Times New Roman" w:eastAsia="Times New Roman" w:hAnsi="Times New Roman"/>
                <w:b w:val="false"/>
                <w:bCs w:val="false"/>
                <w:i w:val="false"/>
                <w:iCs w:val="false"/>
                <w:sz w:val="19"/>
                <w:szCs w:val="19"/>
              </w:rPr>
              <w:t xml:space="preserve">15.3. The Company may amend these General Terms by notifying the Party no later than fifteen (15) calendar days before the amendments take effect. Shipments the performance of which commenced before that date remain subject to the previous version.</w:t>
            </w:r>
          </w:p>
        </w:tc>
      </w:tr>
    </w:tbl>
    <w:p>
      <w:r>
        <w:br w:type="page"/>
      </w:r>
    </w:p>
    <w:p>
      <w:pPr>
        <w:spacing w:after="60"/>
        <w:jc w:val="center"/>
      </w:pPr>
      <w:r>
        <w:rPr>
          <w:rFonts w:ascii="Times New Roman" w:cs="Times New Roman" w:eastAsia="Times New Roman" w:hAnsi="Times New Roman"/>
          <w:b/>
          <w:bCs/>
          <w:sz w:val="21"/>
          <w:szCs w:val="21"/>
        </w:rPr>
        <w:t xml:space="preserve">Приложение № 1. Матрица применимости</w:t>
      </w:r>
    </w:p>
    <w:p>
      <w:pPr>
        <w:spacing w:after="200"/>
        <w:jc w:val="center"/>
      </w:pPr>
      <w:r>
        <w:rPr>
          <w:rFonts w:ascii="Times New Roman" w:cs="Times New Roman" w:eastAsia="Times New Roman" w:hAnsi="Times New Roman"/>
          <w:b/>
          <w:bCs/>
          <w:sz w:val="21"/>
          <w:szCs w:val="21"/>
        </w:rPr>
        <w:t xml:space="preserve">Annex 1. Applicability matrix</w:t>
      </w:r>
    </w:p>
    <w:p>
      <w:pPr>
        <w:spacing w:after="140"/>
      </w:pPr>
      <w:r>
        <w:rPr>
          <w:rFonts w:ascii="Times New Roman" w:cs="Times New Roman" w:eastAsia="Times New Roman" w:hAnsi="Times New Roman"/>
          <w:i/>
          <w:iCs/>
          <w:sz w:val="17"/>
          <w:szCs w:val="17"/>
        </w:rPr>
        <w:t xml:space="preserve">«+» применяется / applicable;  «–» не применяется / not applicable;  «!» применяется с оговоркой / applies subject to the note below.</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900"/>
        <w:gridCol w:w="1400"/>
        <w:gridCol w:w="1400"/>
        <w:gridCol w:w="1400"/>
        <w:gridCol w:w="1400"/>
      </w:tblGrid>
      <w:tr>
        <w:trPr>
          <w:tblHeader/>
        </w:trPr>
        <w:tc>
          <w:tcPr>
            <w:tcW w:type="dxa" w:w="3900"/>
            <w:shd w:fill="E8E8E8" w:val="clear"/>
            <w:tcMar>
              <w:top w:type="dxa" w:w="40"/>
              <w:left w:type="dxa" w:w="80"/>
              <w:bottom w:type="dxa" w:w="40"/>
              <w:right w:type="dxa" w:w="80"/>
            </w:tcMar>
          </w:tcPr>
          <w:p>
            <w:pPr>
              <w:spacing w:after="0" w:line="240"/>
              <w:jc w:val="center"/>
            </w:pPr>
            <w:r>
              <w:rPr>
                <w:rFonts w:ascii="Times New Roman" w:cs="Times New Roman" w:eastAsia="Times New Roman" w:hAnsi="Times New Roman"/>
                <w:b/>
                <w:bCs/>
                <w:sz w:val="17"/>
                <w:szCs w:val="17"/>
              </w:rPr>
              <w:t xml:space="preserve">Раздел / Section</w:t>
            </w:r>
          </w:p>
        </w:tc>
        <w:tc>
          <w:tcPr>
            <w:tcW w:type="dxa" w:w="1400"/>
            <w:shd w:fill="E8E8E8" w:val="clear"/>
            <w:tcMar>
              <w:top w:type="dxa" w:w="40"/>
              <w:left w:type="dxa" w:w="80"/>
              <w:bottom w:type="dxa" w:w="40"/>
              <w:right w:type="dxa" w:w="80"/>
            </w:tcMar>
          </w:tcPr>
          <w:p>
            <w:pPr>
              <w:spacing w:after="0" w:line="240"/>
              <w:jc w:val="center"/>
            </w:pPr>
            <w:r>
              <w:rPr>
                <w:rFonts w:ascii="Times New Roman" w:cs="Times New Roman" w:eastAsia="Times New Roman" w:hAnsi="Times New Roman"/>
                <w:b/>
                <w:bCs/>
                <w:sz w:val="17"/>
                <w:szCs w:val="17"/>
              </w:rPr>
              <w:t xml:space="preserve">Заказчик РФ Customer RU</w:t>
            </w:r>
          </w:p>
        </w:tc>
        <w:tc>
          <w:tcPr>
            <w:tcW w:type="dxa" w:w="1400"/>
            <w:shd w:fill="E8E8E8" w:val="clear"/>
            <w:tcMar>
              <w:top w:type="dxa" w:w="40"/>
              <w:left w:type="dxa" w:w="80"/>
              <w:bottom w:type="dxa" w:w="40"/>
              <w:right w:type="dxa" w:w="80"/>
            </w:tcMar>
          </w:tcPr>
          <w:p>
            <w:pPr>
              <w:spacing w:after="0" w:line="240"/>
              <w:jc w:val="center"/>
            </w:pPr>
            <w:r>
              <w:rPr>
                <w:rFonts w:ascii="Times New Roman" w:cs="Times New Roman" w:eastAsia="Times New Roman" w:hAnsi="Times New Roman"/>
                <w:b/>
                <w:bCs/>
                <w:sz w:val="17"/>
                <w:szCs w:val="17"/>
              </w:rPr>
              <w:t xml:space="preserve">Заказчик ин. Customer FN</w:t>
            </w:r>
          </w:p>
        </w:tc>
        <w:tc>
          <w:tcPr>
            <w:tcW w:type="dxa" w:w="1400"/>
            <w:shd w:fill="E8E8E8" w:val="clear"/>
            <w:tcMar>
              <w:top w:type="dxa" w:w="40"/>
              <w:left w:type="dxa" w:w="80"/>
              <w:bottom w:type="dxa" w:w="40"/>
              <w:right w:type="dxa" w:w="80"/>
            </w:tcMar>
          </w:tcPr>
          <w:p>
            <w:pPr>
              <w:spacing w:after="0" w:line="240"/>
              <w:jc w:val="center"/>
            </w:pPr>
            <w:r>
              <w:rPr>
                <w:rFonts w:ascii="Times New Roman" w:cs="Times New Roman" w:eastAsia="Times New Roman" w:hAnsi="Times New Roman"/>
                <w:b/>
                <w:bCs/>
                <w:sz w:val="17"/>
                <w:szCs w:val="17"/>
              </w:rPr>
              <w:t xml:space="preserve">Исполнитель РФ Provider RU</w:t>
            </w:r>
          </w:p>
        </w:tc>
        <w:tc>
          <w:tcPr>
            <w:tcW w:type="dxa" w:w="1400"/>
            <w:shd w:fill="E8E8E8" w:val="clear"/>
            <w:tcMar>
              <w:top w:type="dxa" w:w="40"/>
              <w:left w:type="dxa" w:w="80"/>
              <w:bottom w:type="dxa" w:w="40"/>
              <w:right w:type="dxa" w:w="80"/>
            </w:tcMar>
          </w:tcPr>
          <w:p>
            <w:pPr>
              <w:spacing w:after="0" w:line="240"/>
              <w:jc w:val="center"/>
            </w:pPr>
            <w:r>
              <w:rPr>
                <w:rFonts w:ascii="Times New Roman" w:cs="Times New Roman" w:eastAsia="Times New Roman" w:hAnsi="Times New Roman"/>
                <w:b/>
                <w:bCs/>
                <w:sz w:val="17"/>
                <w:szCs w:val="17"/>
              </w:rPr>
              <w:t xml:space="preserve">Исполнитель ин. Provider FN</w:t>
            </w:r>
          </w:p>
        </w:tc>
      </w:tr>
      <w:tr>
        <w:trPr>
          <w:tblHeader w:val="false"/>
        </w:trPr>
        <w:tc>
          <w:tcPr>
            <w:tcW w:type="dxa" w:w="39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3. Разграничение плеч / Allocation of legs</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r>
      <w:tr>
        <w:trPr>
          <w:tblHeader w:val="false"/>
        </w:trPr>
        <w:tc>
          <w:tcPr>
            <w:tcW w:type="dxa" w:w="39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4. ЭПД на российском плече / ETD on the Russian leg</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r>
      <w:tr>
        <w:trPr>
          <w:tblHeader w:val="false"/>
        </w:trPr>
        <w:tc>
          <w:tcPr>
            <w:tcW w:type="dxa" w:w="39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5. Документы международного плеча / International-leg documents</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r>
      <w:tr>
        <w:trPr>
          <w:tblHeader w:val="false"/>
        </w:trPr>
        <w:tc>
          <w:tcPr>
            <w:tcW w:type="dxa" w:w="39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6. Реестры и допуск / Registers and admission</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r>
      <w:tr>
        <w:trPr>
          <w:tblHeader w:val="false"/>
        </w:trPr>
        <w:tc>
          <w:tcPr>
            <w:tcW w:type="dxa" w:w="39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7. ПВИО и проверка груза / Restricted items and inspection</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r>
      <w:tr>
        <w:trPr>
          <w:tblHeader w:val="false"/>
        </w:trPr>
        <w:tc>
          <w:tcPr>
            <w:tcW w:type="dxa" w:w="39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8. Категории данных / Data categories</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r>
      <w:tr>
        <w:trPr>
          <w:tblHeader w:val="false"/>
        </w:trPr>
        <w:tc>
          <w:tcPr>
            <w:tcW w:type="dxa" w:w="39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9. Конфиденциальность / Confidentiality</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r>
      <w:tr>
        <w:trPr>
          <w:tblHeader w:val="false"/>
        </w:trPr>
        <w:tc>
          <w:tcPr>
            <w:tcW w:type="dxa" w:w="39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10. Персональные данные / Personal data</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r>
      <w:tr>
        <w:trPr>
          <w:tblHeader w:val="false"/>
        </w:trPr>
        <w:tc>
          <w:tcPr>
            <w:tcW w:type="dxa" w:w="39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11. Расчёты и налоги / Settlements and taxes</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r>
      <w:tr>
        <w:trPr>
          <w:tblHeader w:val="false"/>
        </w:trPr>
        <w:tc>
          <w:tcPr>
            <w:tcW w:type="dxa" w:w="39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12. Санкционные ограничения / Sanctions restrictions</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r>
      <w:tr>
        <w:trPr>
          <w:tblHeader w:val="false"/>
        </w:trPr>
        <w:tc>
          <w:tcPr>
            <w:tcW w:type="dxa" w:w="39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13. Ответственность / Liability</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r>
      <w:tr>
        <w:trPr>
          <w:tblHeader w:val="false"/>
        </w:trPr>
        <w:tc>
          <w:tcPr>
            <w:tcW w:type="dxa" w:w="39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14. Право и споры / Law and disputes</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c>
          <w:tcPr>
            <w:tcW w:type="dxa" w:w="14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w:t>
            </w:r>
          </w:p>
        </w:tc>
      </w:tr>
    </w:tbl>
    <w:p>
      <w:pPr>
        <w:spacing w:after="90" w:before="180"/>
      </w:pPr>
      <w:r>
        <w:rPr>
          <w:rFonts w:ascii="Times New Roman" w:cs="Times New Roman" w:eastAsia="Times New Roman" w:hAnsi="Times New Roman"/>
          <w:b/>
          <w:bCs/>
          <w:sz w:val="19"/>
          <w:szCs w:val="19"/>
        </w:rPr>
        <w:t xml:space="preserve">Примечания / Notes</w:t>
      </w:r>
    </w:p>
    <w:p>
      <w:pPr>
        <w:spacing w:after="40"/>
        <w:jc w:val="both"/>
      </w:pPr>
      <w:r>
        <w:rPr>
          <w:rFonts w:ascii="Times New Roman" w:cs="Times New Roman" w:eastAsia="Times New Roman" w:hAnsi="Times New Roman"/>
          <w:sz w:val="17"/>
          <w:szCs w:val="17"/>
        </w:rPr>
        <w:t xml:space="preserve">Раздел 5 применяется к российским Сторонам, если они участвуют в оформлении международных транспортных документов.</w:t>
      </w:r>
    </w:p>
    <w:p>
      <w:pPr>
        <w:spacing w:after="110"/>
        <w:jc w:val="both"/>
      </w:pPr>
      <w:r>
        <w:rPr>
          <w:rFonts w:ascii="Times New Roman" w:cs="Times New Roman" w:eastAsia="Times New Roman" w:hAnsi="Times New Roman"/>
          <w:i/>
          <w:iCs/>
          <w:sz w:val="17"/>
          <w:szCs w:val="17"/>
        </w:rPr>
        <w:t xml:space="preserve">Section 5 applies to Russian Parties where they take part in issuing international transport documents.</w:t>
      </w:r>
    </w:p>
    <w:p>
      <w:pPr>
        <w:spacing w:after="40"/>
        <w:jc w:val="both"/>
      </w:pPr>
      <w:r>
        <w:rPr>
          <w:rFonts w:ascii="Times New Roman" w:cs="Times New Roman" w:eastAsia="Times New Roman" w:hAnsi="Times New Roman"/>
          <w:sz w:val="17"/>
          <w:szCs w:val="17"/>
        </w:rPr>
        <w:t xml:space="preserve">Раздел 6 применяется к заказчику-резиденту, если он сам осуществляет транспортно-экспедиционную деятельность.</w:t>
      </w:r>
    </w:p>
    <w:p>
      <w:pPr>
        <w:spacing w:after="110"/>
        <w:jc w:val="both"/>
      </w:pPr>
      <w:r>
        <w:rPr>
          <w:rFonts w:ascii="Times New Roman" w:cs="Times New Roman" w:eastAsia="Times New Roman" w:hAnsi="Times New Roman"/>
          <w:i/>
          <w:iCs/>
          <w:sz w:val="17"/>
          <w:szCs w:val="17"/>
        </w:rPr>
        <w:t xml:space="preserve">Section 6 applies to a resident customer where it itself carries out freight forwarding activity.</w:t>
      </w:r>
    </w:p>
    <w:p>
      <w:pPr>
        <w:spacing w:after="40"/>
        <w:jc w:val="both"/>
      </w:pPr>
      <w:r>
        <w:rPr>
          <w:rFonts w:ascii="Times New Roman" w:cs="Times New Roman" w:eastAsia="Times New Roman" w:hAnsi="Times New Roman"/>
          <w:sz w:val="17"/>
          <w:szCs w:val="17"/>
        </w:rPr>
        <w:t xml:space="preserve">Раздел 7 применяется к иностранному исполнителю в части обязанности информировать Компанию; обязанность информирования уполномоченных органов Российской Федерации на него не распространяется.</w:t>
      </w:r>
    </w:p>
    <w:p>
      <w:pPr>
        <w:spacing w:after="110"/>
        <w:jc w:val="both"/>
      </w:pPr>
      <w:r>
        <w:rPr>
          <w:rFonts w:ascii="Times New Roman" w:cs="Times New Roman" w:eastAsia="Times New Roman" w:hAnsi="Times New Roman"/>
          <w:i/>
          <w:iCs/>
          <w:sz w:val="17"/>
          <w:szCs w:val="17"/>
        </w:rPr>
        <w:t xml:space="preserve">Section 7 applies to a foreign service provider as regards the duty to inform the Company; the duty to inform the Russian competent authorities does not extend to it.</w:t>
      </w:r>
    </w:p>
    <w:p>
      <w:pPr>
        <w:spacing w:after="40"/>
        <w:jc w:val="both"/>
      </w:pPr>
      <w:r>
        <w:rPr>
          <w:rFonts w:ascii="Times New Roman" w:cs="Times New Roman" w:eastAsia="Times New Roman" w:hAnsi="Times New Roman"/>
          <w:sz w:val="17"/>
          <w:szCs w:val="17"/>
        </w:rPr>
        <w:t xml:space="preserve">Раздел 10 применяется к иностранным Сторонам в части гарантий и требований к трансграничной передаче.</w:t>
      </w:r>
    </w:p>
    <w:p>
      <w:pPr>
        <w:spacing w:after="110"/>
        <w:jc w:val="both"/>
      </w:pPr>
      <w:r>
        <w:rPr>
          <w:rFonts w:ascii="Times New Roman" w:cs="Times New Roman" w:eastAsia="Times New Roman" w:hAnsi="Times New Roman"/>
          <w:i/>
          <w:iCs/>
          <w:sz w:val="17"/>
          <w:szCs w:val="17"/>
        </w:rPr>
        <w:t xml:space="preserve">Section 10 applies to foreign Parties as regards warranties and cross-border transfer requirements.</w:t>
      </w:r>
    </w:p>
    <w:p>
      <w:pPr>
        <w:spacing w:after="40"/>
        <w:jc w:val="both"/>
      </w:pPr>
      <w:r>
        <w:rPr>
          <w:rFonts w:ascii="Times New Roman" w:cs="Times New Roman" w:eastAsia="Times New Roman" w:hAnsi="Times New Roman"/>
          <w:sz w:val="17"/>
          <w:szCs w:val="17"/>
        </w:rPr>
        <w:t xml:space="preserve">Раздел 11 применяется к российским Сторонам в части налога на добавленную стоимость; положения о налоге у источника и сертификате резидентства применяются только к иностранным Сторонам.</w:t>
      </w:r>
    </w:p>
    <w:p>
      <w:pPr>
        <w:spacing w:after="110"/>
        <w:jc w:val="both"/>
      </w:pPr>
      <w:r>
        <w:rPr>
          <w:rFonts w:ascii="Times New Roman" w:cs="Times New Roman" w:eastAsia="Times New Roman" w:hAnsi="Times New Roman"/>
          <w:i/>
          <w:iCs/>
          <w:sz w:val="17"/>
          <w:szCs w:val="17"/>
        </w:rPr>
        <w:t xml:space="preserve">Section 11 applies to Russian Parties as regards value added tax; the provisions on withholding tax and the certificate of residence apply to foreign Parties only.</w:t>
      </w:r>
    </w:p>
    <w:p>
      <w:r>
        <w:br w:type="page"/>
      </w:r>
    </w:p>
    <w:p>
      <w:pPr>
        <w:spacing w:after="60"/>
        <w:jc w:val="center"/>
      </w:pPr>
      <w:r>
        <w:rPr>
          <w:rFonts w:ascii="Times New Roman" w:cs="Times New Roman" w:eastAsia="Times New Roman" w:hAnsi="Times New Roman"/>
          <w:b/>
          <w:bCs/>
          <w:sz w:val="21"/>
          <w:szCs w:val="21"/>
        </w:rPr>
        <w:t xml:space="preserve">Приложение № 2. Карточка Стороны</w:t>
      </w:r>
    </w:p>
    <w:p>
      <w:pPr>
        <w:spacing w:after="200"/>
        <w:jc w:val="center"/>
      </w:pPr>
      <w:r>
        <w:rPr>
          <w:rFonts w:ascii="Times New Roman" w:cs="Times New Roman" w:eastAsia="Times New Roman" w:hAnsi="Times New Roman"/>
          <w:b/>
          <w:bCs/>
          <w:sz w:val="21"/>
          <w:szCs w:val="21"/>
        </w:rPr>
        <w:t xml:space="preserve">Annex 2. Party Profile</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5200"/>
        <w:gridCol w:w="4300"/>
      </w:tblGrid>
      <w:tr>
        <w:trPr>
          <w:tblHeader/>
        </w:trPr>
        <w:tc>
          <w:tcPr>
            <w:tcW w:type="dxa" w:w="5200"/>
            <w:shd w:fill="E8E8E8" w:val="clear"/>
            <w:tcMar>
              <w:top w:type="dxa" w:w="40"/>
              <w:left w:type="dxa" w:w="80"/>
              <w:bottom w:type="dxa" w:w="40"/>
              <w:right w:type="dxa" w:w="80"/>
            </w:tcMar>
          </w:tcPr>
          <w:p>
            <w:pPr>
              <w:spacing w:after="0" w:line="240"/>
              <w:jc w:val="center"/>
            </w:pPr>
            <w:r>
              <w:rPr>
                <w:rFonts w:ascii="Times New Roman" w:cs="Times New Roman" w:eastAsia="Times New Roman" w:hAnsi="Times New Roman"/>
                <w:b/>
                <w:bCs/>
                <w:sz w:val="17"/>
                <w:szCs w:val="17"/>
              </w:rPr>
              <w:t xml:space="preserve">Параметр / Item</w:t>
            </w:r>
          </w:p>
        </w:tc>
        <w:tc>
          <w:tcPr>
            <w:tcW w:type="dxa" w:w="4300"/>
            <w:shd w:fill="E8E8E8" w:val="clear"/>
            <w:tcMar>
              <w:top w:type="dxa" w:w="40"/>
              <w:left w:type="dxa" w:w="80"/>
              <w:bottom w:type="dxa" w:w="40"/>
              <w:right w:type="dxa" w:w="80"/>
            </w:tcMar>
          </w:tcPr>
          <w:p>
            <w:pPr>
              <w:spacing w:after="0" w:line="240"/>
              <w:jc w:val="center"/>
            </w:pPr>
            <w:r>
              <w:rPr>
                <w:rFonts w:ascii="Times New Roman" w:cs="Times New Roman" w:eastAsia="Times New Roman" w:hAnsi="Times New Roman"/>
                <w:b/>
                <w:bCs/>
                <w:sz w:val="17"/>
                <w:szCs w:val="17"/>
              </w:rPr>
              <w:t xml:space="preserve">Значение / Value</w:t>
            </w:r>
          </w:p>
        </w:tc>
      </w:tr>
      <w:tr>
        <w:trPr>
          <w:tblHeader w:val="false"/>
        </w:trPr>
        <w:tc>
          <w:tcPr>
            <w:tcW w:type="dxa" w:w="52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Наименование, страна регистрации / Name, country of incorporation</w:t>
            </w:r>
          </w:p>
        </w:tc>
        <w:tc>
          <w:tcPr>
            <w:tcW w:type="dxa" w:w="43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____________________________</w:t>
            </w:r>
          </w:p>
        </w:tc>
      </w:tr>
      <w:tr>
        <w:trPr>
          <w:tblHeader w:val="false"/>
        </w:trPr>
        <w:tc>
          <w:tcPr>
            <w:tcW w:type="dxa" w:w="52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Регистрационный и налоговый номер / Registration and tax number</w:t>
            </w:r>
          </w:p>
        </w:tc>
        <w:tc>
          <w:tcPr>
            <w:tcW w:type="dxa" w:w="43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____________________________</w:t>
            </w:r>
          </w:p>
        </w:tc>
      </w:tr>
      <w:tr>
        <w:trPr>
          <w:tblHeader w:val="false"/>
        </w:trPr>
        <w:tc>
          <w:tcPr>
            <w:tcW w:type="dxa" w:w="52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Роль / Role</w:t>
            </w:r>
          </w:p>
        </w:tc>
        <w:tc>
          <w:tcPr>
            <w:tcW w:type="dxa" w:w="43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заказчик / исполнитель / обе — customer / provider / both</w:t>
            </w:r>
          </w:p>
        </w:tc>
      </w:tr>
      <w:tr>
        <w:trPr>
          <w:tblHeader w:val="false"/>
        </w:trPr>
        <w:tc>
          <w:tcPr>
            <w:tcW w:type="dxa" w:w="52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Налоговое резидентство / Tax residency</w:t>
            </w:r>
          </w:p>
        </w:tc>
        <w:tc>
          <w:tcPr>
            <w:tcW w:type="dxa" w:w="43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РФ / иное — RF / other: ____________</w:t>
            </w:r>
          </w:p>
        </w:tc>
      </w:tr>
      <w:tr>
        <w:trPr>
          <w:tblHeader w:val="false"/>
        </w:trPr>
        <w:tc>
          <w:tcPr>
            <w:tcW w:type="dxa" w:w="52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Плечи / Legs</w:t>
            </w:r>
          </w:p>
        </w:tc>
        <w:tc>
          <w:tcPr>
            <w:tcW w:type="dxa" w:w="43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международное / российское / оба — international / Russian / both</w:t>
            </w:r>
          </w:p>
        </w:tc>
      </w:tr>
      <w:tr>
        <w:trPr>
          <w:tblHeader w:val="false"/>
        </w:trPr>
        <w:tc>
          <w:tcPr>
            <w:tcW w:type="dxa" w:w="52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Номер в реестре «ГосЛог» (для резидентов) / GosLog register number (residents)</w:t>
            </w:r>
          </w:p>
        </w:tc>
        <w:tc>
          <w:tcPr>
            <w:tcW w:type="dxa" w:w="43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____________________________</w:t>
            </w:r>
          </w:p>
        </w:tc>
      </w:tr>
      <w:tr>
        <w:trPr>
          <w:tblHeader w:val="false"/>
        </w:trPr>
        <w:tc>
          <w:tcPr>
            <w:tcW w:type="dxa" w:w="52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Оператор ИС ЭПД и Идентификатор ЭПД / ETD IS operator and ETD Identifier</w:t>
            </w:r>
          </w:p>
        </w:tc>
        <w:tc>
          <w:tcPr>
            <w:tcW w:type="dxa" w:w="43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____________________________</w:t>
            </w:r>
          </w:p>
        </w:tc>
      </w:tr>
      <w:tr>
        <w:trPr>
          <w:tblHeader w:val="false"/>
        </w:trPr>
        <w:tc>
          <w:tcPr>
            <w:tcW w:type="dxa" w:w="52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Подписанты и МЧД / Signatories and MRPAs</w:t>
            </w:r>
          </w:p>
        </w:tc>
        <w:tc>
          <w:tcPr>
            <w:tcW w:type="dxa" w:w="43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____________________________</w:t>
            </w:r>
          </w:p>
        </w:tc>
      </w:tr>
      <w:tr>
        <w:trPr>
          <w:tblHeader w:val="false"/>
        </w:trPr>
        <w:tc>
          <w:tcPr>
            <w:tcW w:type="dxa" w:w="52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Сертификат налогового резидентства: дата, срок / Certificate of tax residence: date, validity</w:t>
            </w:r>
          </w:p>
        </w:tc>
        <w:tc>
          <w:tcPr>
            <w:tcW w:type="dxa" w:w="43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____________________________</w:t>
            </w:r>
          </w:p>
        </w:tc>
      </w:tr>
      <w:tr>
        <w:trPr>
          <w:tblHeader w:val="false"/>
        </w:trPr>
        <w:tc>
          <w:tcPr>
            <w:tcW w:type="dxa" w:w="52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Подтверждение фактического права на доход / Confirmation of beneficial ownership</w:t>
            </w:r>
          </w:p>
        </w:tc>
        <w:tc>
          <w:tcPr>
            <w:tcW w:type="dxa" w:w="43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предоставлено / нет — provided / not provided</w:t>
            </w:r>
          </w:p>
        </w:tc>
      </w:tr>
      <w:tr>
        <w:trPr>
          <w:tblHeader w:val="false"/>
        </w:trPr>
        <w:tc>
          <w:tcPr>
            <w:tcW w:type="dxa" w:w="52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Реквизиты, валюта платежа, платёжный агент / Bank details, currency, paying agent</w:t>
            </w:r>
          </w:p>
        </w:tc>
        <w:tc>
          <w:tcPr>
            <w:tcW w:type="dxa" w:w="43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____________________________</w:t>
            </w:r>
          </w:p>
        </w:tc>
      </w:tr>
      <w:tr>
        <w:trPr>
          <w:tblHeader w:val="false"/>
        </w:trPr>
        <w:tc>
          <w:tcPr>
            <w:tcW w:type="dxa" w:w="52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Арбитраж: учреждение, место, язык / Arbitration: institution, seat, language</w:t>
            </w:r>
          </w:p>
        </w:tc>
        <w:tc>
          <w:tcPr>
            <w:tcW w:type="dxa" w:w="43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____________________________</w:t>
            </w:r>
          </w:p>
        </w:tc>
      </w:tr>
      <w:tr>
        <w:trPr>
          <w:tblHeader w:val="false"/>
        </w:trPr>
        <w:tc>
          <w:tcPr>
            <w:tcW w:type="dxa" w:w="52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Ответственное лицо / Contact person</w:t>
            </w:r>
          </w:p>
        </w:tc>
        <w:tc>
          <w:tcPr>
            <w:tcW w:type="dxa" w:w="43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____________________________</w:t>
            </w:r>
          </w:p>
        </w:tc>
      </w:tr>
      <w:tr>
        <w:trPr>
          <w:tblHeader w:val="false"/>
        </w:trPr>
        <w:tc>
          <w:tcPr>
            <w:tcW w:type="dxa" w:w="5200"/>
            <w:tcMar>
              <w:top w:type="dxa" w:w="40"/>
              <w:left w:type="dxa" w:w="80"/>
              <w:bottom w:type="dxa" w:w="40"/>
              <w:right w:type="dxa" w:w="80"/>
            </w:tcMar>
          </w:tcPr>
          <w:p>
            <w:pPr>
              <w:spacing w:after="0" w:line="240"/>
              <w:jc w:val="left"/>
            </w:pPr>
            <w:r>
              <w:rPr>
                <w:rFonts w:ascii="Times New Roman" w:cs="Times New Roman" w:eastAsia="Times New Roman" w:hAnsi="Times New Roman"/>
                <w:b w:val="false"/>
                <w:bCs w:val="false"/>
                <w:sz w:val="17"/>
                <w:szCs w:val="17"/>
              </w:rPr>
              <w:t xml:space="preserve">Дата заполнения / Date completed</w:t>
            </w:r>
          </w:p>
        </w:tc>
        <w:tc>
          <w:tcPr>
            <w:tcW w:type="dxa" w:w="4300"/>
            <w:tcMar>
              <w:top w:type="dxa" w:w="40"/>
              <w:left w:type="dxa" w:w="80"/>
              <w:bottom w:type="dxa" w:w="40"/>
              <w:right w:type="dxa" w:w="80"/>
            </w:tcMar>
          </w:tcPr>
          <w:p>
            <w:pPr>
              <w:spacing w:after="0" w:line="240"/>
              <w:jc w:val="center"/>
            </w:pPr>
            <w:r>
              <w:rPr>
                <w:rFonts w:ascii="Times New Roman" w:cs="Times New Roman" w:eastAsia="Times New Roman" w:hAnsi="Times New Roman"/>
                <w:b w:val="false"/>
                <w:bCs w:val="false"/>
                <w:sz w:val="17"/>
                <w:szCs w:val="17"/>
              </w:rPr>
              <w:t xml:space="preserve">____________________________</w:t>
            </w:r>
          </w:p>
        </w:tc>
      </w:tr>
    </w:tbl>
    <w:sectPr>
      <w:pgSz w:w="11906" w:h="16838" w:orient="portrait"/>
      <w:pgMar w:top="800" w:right="700" w:bottom="800" w:left="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2026-09-04T12:27:28.181Z</dcterms:created>
  <dcterms:modified xsi:type="dcterms:W3CDTF">2026-09-04T12:27:28.189Z</dcterms:modified>
</cp:coreProperties>
</file>

<file path=docProps/custom.xml><?xml version="1.0" encoding="utf-8"?>
<Properties xmlns="http://schemas.openxmlformats.org/officeDocument/2006/custom-properties" xmlns:vt="http://schemas.openxmlformats.org/officeDocument/2006/docPropsVTypes"/>
</file>